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POLICY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DETERMINING</w:t>
      </w:r>
      <w:r>
        <w:rPr>
          <w:spacing w:val="-5"/>
        </w:rPr>
        <w:t> </w:t>
      </w:r>
      <w:r>
        <w:rPr/>
        <w:t>METERIALITY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SUBSIDIARY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before="4"/>
        <w:rPr>
          <w:rFonts w:ascii="Arial"/>
          <w:b/>
          <w:sz w:val="40"/>
        </w:rPr>
      </w:pPr>
    </w:p>
    <w:p>
      <w:pPr>
        <w:pStyle w:val="Heading1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7" w:right="0" w:hanging="188"/>
        <w:jc w:val="left"/>
      </w:pPr>
      <w:r>
        <w:rPr/>
        <w:t>BACKGROUND: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73" w:lineRule="auto"/>
        <w:ind w:left="100" w:right="118"/>
        <w:jc w:val="both"/>
      </w:pP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SEBI</w:t>
      </w:r>
      <w:r>
        <w:rPr>
          <w:spacing w:val="1"/>
        </w:rPr>
        <w:t> </w:t>
      </w:r>
      <w:r>
        <w:rPr/>
        <w:t>(Listing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Requirements)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(“Listing</w:t>
      </w:r>
      <w:r>
        <w:rPr>
          <w:spacing w:val="1"/>
        </w:rPr>
        <w:t> </w:t>
      </w:r>
      <w:r>
        <w:rPr/>
        <w:t>Regulations”)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 a policy for determining a “material” subsidiary and Regulation 46(2)(h) of the Listing</w:t>
      </w:r>
      <w:r>
        <w:rPr>
          <w:spacing w:val="1"/>
        </w:rPr>
        <w:t> </w:t>
      </w:r>
      <w:r>
        <w:rPr/>
        <w:t>Regulations requires each listed company to publish such policy under a separate section on its</w:t>
      </w:r>
      <w:r>
        <w:rPr>
          <w:spacing w:val="-59"/>
        </w:rPr>
        <w:t> </w:t>
      </w:r>
      <w:r>
        <w:rPr/>
        <w:t>website.</w:t>
      </w:r>
    </w:p>
    <w:p>
      <w:pPr>
        <w:pStyle w:val="BodyText"/>
        <w:spacing w:line="273" w:lineRule="auto" w:before="214"/>
        <w:ind w:left="100" w:right="124"/>
        <w:jc w:val="both"/>
      </w:pPr>
      <w:r>
        <w:rPr/>
        <w:t>This policy for determining a material subsidiary (“Policy”) of BSE Limited (the “Company”)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Listing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Company may amend this policy from time to time provided such amendments are in line 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Listing</w:t>
      </w:r>
      <w:r>
        <w:rPr>
          <w:spacing w:val="2"/>
        </w:rPr>
        <w:t> </w:t>
      </w:r>
      <w:r>
        <w:rPr/>
        <w:t>Regulations.</w:t>
      </w:r>
    </w:p>
    <w:p>
      <w:pPr>
        <w:pStyle w:val="Heading1"/>
        <w:numPr>
          <w:ilvl w:val="0"/>
          <w:numId w:val="1"/>
        </w:numPr>
        <w:tabs>
          <w:tab w:pos="350" w:val="left" w:leader="none"/>
        </w:tabs>
        <w:spacing w:line="240" w:lineRule="auto" w:before="201" w:after="0"/>
        <w:ind w:left="349" w:right="0" w:hanging="250"/>
        <w:jc w:val="left"/>
      </w:pPr>
      <w:r>
        <w:rPr/>
        <w:t>OBJECTIVES:</w:t>
      </w: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This Policy is framed and adopted to determine the “Material Subsidiary(ies) of the Company”</w:t>
      </w:r>
      <w:r>
        <w:rPr>
          <w:spacing w:val="1"/>
        </w:rPr>
        <w:t> </w:t>
      </w:r>
      <w:r>
        <w:rPr/>
        <w:t>and to provide the Governance Framework for such Subsidiary(ies). In determining whether or</w:t>
      </w:r>
      <w:r>
        <w:rPr>
          <w:spacing w:val="1"/>
        </w:rPr>
        <w:t> </w:t>
      </w:r>
      <w:r>
        <w:rPr/>
        <w:t>not a subsidiary of the Company is or has become a material subsidiary, the Company shall be</w:t>
      </w:r>
      <w:r>
        <w:rPr>
          <w:spacing w:val="1"/>
        </w:rPr>
        <w:t> </w:t>
      </w:r>
      <w:r>
        <w:rPr/>
        <w:t>guided by and follow this Policy and the applicable provisions of the LODR Regulations. Where</w:t>
      </w:r>
      <w:r>
        <w:rPr>
          <w:spacing w:val="1"/>
        </w:rPr>
        <w:t> </w:t>
      </w:r>
      <w:r>
        <w:rPr/>
        <w:t>there is a conflict between this Policy and the LODR Regulations, the provisions of the LODR</w:t>
      </w:r>
      <w:r>
        <w:rPr>
          <w:spacing w:val="1"/>
        </w:rPr>
        <w:t> </w:t>
      </w:r>
      <w:r>
        <w:rPr/>
        <w:t>Regulations shall</w:t>
      </w:r>
      <w:r>
        <w:rPr>
          <w:spacing w:val="-5"/>
        </w:rPr>
        <w:t> </w:t>
      </w:r>
      <w:r>
        <w:rPr/>
        <w:t>prevail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making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determination.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89" w:after="0"/>
        <w:ind w:left="349" w:right="0" w:hanging="250"/>
        <w:jc w:val="left"/>
        <w:rPr>
          <w:sz w:val="22"/>
        </w:rPr>
      </w:pPr>
      <w:r>
        <w:rPr>
          <w:rFonts w:ascii="Arial"/>
          <w:b/>
          <w:sz w:val="22"/>
        </w:rPr>
        <w:t>DEFINITIONS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Code,</w:t>
      </w:r>
      <w:r>
        <w:rPr>
          <w:spacing w:val="-6"/>
          <w:sz w:val="22"/>
        </w:rPr>
        <w:t> </w:t>
      </w:r>
      <w:r>
        <w:rPr>
          <w:sz w:val="22"/>
        </w:rPr>
        <w:t>unless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context</w:t>
      </w:r>
      <w:r>
        <w:rPr>
          <w:spacing w:val="-6"/>
          <w:sz w:val="22"/>
        </w:rPr>
        <w:t> </w:t>
      </w:r>
      <w:r>
        <w:rPr>
          <w:sz w:val="22"/>
        </w:rPr>
        <w:t>otherwise</w:t>
      </w:r>
      <w:r>
        <w:rPr>
          <w:spacing w:val="-1"/>
          <w:sz w:val="22"/>
        </w:rPr>
        <w:t> </w:t>
      </w:r>
      <w:r>
        <w:rPr>
          <w:sz w:val="22"/>
        </w:rPr>
        <w:t>requires: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6" w:lineRule="auto"/>
        <w:ind w:left="100" w:right="128" w:firstLine="62"/>
        <w:jc w:val="both"/>
      </w:pPr>
      <w:r>
        <w:rPr>
          <w:rFonts w:ascii="Arial" w:hAnsi="Arial"/>
          <w:b/>
        </w:rPr>
        <w:t>“Audit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Committee”</w:t>
      </w:r>
      <w:r>
        <w:rPr>
          <w:rFonts w:ascii="Arial" w:hAnsi="Arial"/>
          <w:b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 from time to time, in accordance with section 177 of the Companies Act 2013 and</w:t>
      </w:r>
      <w:r>
        <w:rPr>
          <w:spacing w:val="1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18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LODR Regulations.</w:t>
      </w:r>
    </w:p>
    <w:p>
      <w:pPr>
        <w:pStyle w:val="BodyText"/>
        <w:spacing w:line="276" w:lineRule="auto" w:before="198"/>
        <w:ind w:left="100" w:right="119" w:firstLine="62"/>
        <w:jc w:val="both"/>
      </w:pPr>
      <w:r>
        <w:rPr>
          <w:rFonts w:ascii="Arial" w:hAnsi="Arial"/>
          <w:b/>
        </w:rPr>
        <w:t>“Independent Director” </w:t>
      </w:r>
      <w:r>
        <w:rPr/>
        <w:t>shall mean an Independent Director of the Company who satisfies the</w:t>
      </w:r>
      <w:r>
        <w:rPr>
          <w:spacing w:val="-59"/>
        </w:rPr>
        <w:t> </w:t>
      </w:r>
      <w:r>
        <w:rPr/>
        <w:t>criteria of Independence under the Companies Act, 2013 &amp; LODR Regulations, as amended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273" w:lineRule="auto" w:before="203"/>
        <w:ind w:left="100" w:right="124" w:firstLine="62"/>
        <w:jc w:val="both"/>
      </w:pPr>
      <w:r>
        <w:rPr>
          <w:rFonts w:ascii="Arial" w:hAnsi="Arial"/>
          <w:b/>
        </w:rPr>
        <w:t>“Material Subsidiary” </w:t>
      </w:r>
      <w:r>
        <w:rPr/>
        <w:t>shall have the meaning as defined in Regulation 16(1)(c) of the LODR</w:t>
      </w:r>
      <w:r>
        <w:rPr>
          <w:spacing w:val="1"/>
        </w:rPr>
        <w:t> </w:t>
      </w:r>
      <w:r>
        <w:rPr/>
        <w:t>Regulations, pursuant to which a material subsidiary means a subsidiary, whose income or net</w:t>
      </w:r>
      <w:r>
        <w:rPr>
          <w:spacing w:val="1"/>
        </w:rPr>
        <w:t> </w:t>
      </w:r>
      <w:r>
        <w:rPr/>
        <w:t>worth exceeds 10% (ten percent) of the consolidated income or net worth respectively, of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its subsidiaries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preceding</w:t>
      </w:r>
      <w:r>
        <w:rPr>
          <w:spacing w:val="-3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276" w:lineRule="auto" w:before="210"/>
        <w:ind w:left="100" w:right="112"/>
        <w:jc w:val="both"/>
      </w:pPr>
      <w:r>
        <w:rPr>
          <w:rFonts w:ascii="Arial" w:hAnsi="Arial"/>
          <w:b/>
        </w:rPr>
        <w:t>“Significant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transaction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arrangement”</w:t>
      </w:r>
      <w:r>
        <w:rPr>
          <w:rFonts w:ascii="Arial" w:hAnsi="Arial"/>
          <w:b/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arrangement that exceeds or is likely to exceed 10% of the total revenues or total expenses or</w:t>
      </w:r>
      <w:r>
        <w:rPr>
          <w:spacing w:val="1"/>
        </w:rPr>
        <w:t> </w:t>
      </w:r>
      <w:r>
        <w:rPr/>
        <w:t>total assets or total liabilities, as the case may be, of the unlisted subsidiary for the immediately</w:t>
      </w:r>
      <w:r>
        <w:rPr>
          <w:spacing w:val="1"/>
        </w:rPr>
        <w:t> </w:t>
      </w:r>
      <w:r>
        <w:rPr/>
        <w:t>preceding</w:t>
      </w:r>
      <w:r>
        <w:rPr>
          <w:spacing w:val="-3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year.</w:t>
      </w:r>
    </w:p>
    <w:p>
      <w:pPr>
        <w:spacing w:after="0" w:line="276" w:lineRule="auto"/>
        <w:jc w:val="both"/>
        <w:sectPr>
          <w:type w:val="continuous"/>
          <w:pgSz w:w="12240" w:h="15840"/>
          <w:pgMar w:top="1360" w:bottom="280" w:left="1340" w:right="1320"/>
        </w:sectPr>
      </w:pPr>
    </w:p>
    <w:p>
      <w:pPr>
        <w:pStyle w:val="BodyText"/>
        <w:spacing w:line="278" w:lineRule="auto" w:before="75"/>
        <w:ind w:left="100" w:right="125"/>
        <w:jc w:val="both"/>
      </w:pPr>
      <w:r>
        <w:rPr>
          <w:rFonts w:ascii="Arial" w:hAnsi="Arial"/>
          <w:b/>
        </w:rPr>
        <w:t>“Subsidiary” </w:t>
      </w:r>
      <w:r>
        <w:rPr/>
        <w:t>shall mean as defined under Section 2 (87) of the Companies Act, 2013 and the</w:t>
      </w:r>
      <w:r>
        <w:rPr>
          <w:spacing w:val="1"/>
        </w:rPr>
        <w:t> </w:t>
      </w:r>
      <w:r>
        <w:rPr/>
        <w:t>Rules made</w:t>
      </w:r>
      <w:r>
        <w:rPr>
          <w:spacing w:val="-2"/>
        </w:rPr>
        <w:t> </w:t>
      </w:r>
      <w:r>
        <w:rPr/>
        <w:t>thereunder.</w:t>
      </w:r>
    </w:p>
    <w:p>
      <w:pPr>
        <w:pStyle w:val="BodyText"/>
        <w:spacing w:line="276" w:lineRule="auto" w:before="196"/>
        <w:ind w:left="100" w:right="114" w:firstLine="62"/>
        <w:jc w:val="both"/>
      </w:pPr>
      <w:r>
        <w:rPr>
          <w:rFonts w:ascii="Arial" w:hAnsi="Arial"/>
          <w:b/>
        </w:rPr>
        <w:t>“Unlisted Subsidiary” </w:t>
      </w:r>
      <w:r>
        <w:rPr/>
        <w:t>means subsidiary of the Company whose securities are not listed on</w:t>
      </w:r>
      <w:r>
        <w:rPr>
          <w:spacing w:val="1"/>
        </w:rPr>
        <w:t> </w:t>
      </w:r>
      <w:r>
        <w:rPr/>
        <w:t>any Stock Exchange(s) in India provided that where this term is defined (whether by way of</w:t>
      </w:r>
      <w:r>
        <w:rPr>
          <w:spacing w:val="1"/>
        </w:rPr>
        <w:t> </w:t>
      </w:r>
      <w:r>
        <w:rPr/>
        <w:t>definition, clarification or explanation) under the LODR Regulations, it shall have the meaning as</w:t>
      </w:r>
      <w:r>
        <w:rPr>
          <w:spacing w:val="-59"/>
        </w:rPr>
        <w:t> </w:t>
      </w:r>
      <w:r>
        <w:rPr/>
        <w:t>per such definition. All terms used in the policy, but not defined above shall have the meanings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Regulations,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be.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68" w:lineRule="auto" w:before="140" w:after="0"/>
        <w:ind w:left="100" w:right="126" w:firstLine="0"/>
        <w:jc w:val="left"/>
      </w:pPr>
      <w:r>
        <w:rPr/>
        <w:t>SIGNIFICANT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UNLISTED</w:t>
      </w:r>
      <w:r>
        <w:rPr>
          <w:spacing w:val="1"/>
        </w:rPr>
        <w:t> </w:t>
      </w:r>
      <w:r>
        <w:rPr/>
        <w:t>SUBSIDIARY</w:t>
      </w:r>
      <w:r>
        <w:rPr>
          <w:spacing w:val="-59"/>
        </w:rPr>
        <w:t> </w:t>
      </w:r>
      <w:r>
        <w:rPr/>
        <w:t>COMPANIES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line="276" w:lineRule="auto"/>
        <w:ind w:left="100" w:right="113" w:firstLine="62"/>
        <w:jc w:val="both"/>
      </w:pPr>
      <w:r>
        <w:rPr/>
        <w:t>The management should periodically bring to the attention of the Board a statement of all</w:t>
      </w:r>
      <w:r>
        <w:rPr>
          <w:spacing w:val="1"/>
        </w:rPr>
        <w:t> </w:t>
      </w:r>
      <w:r>
        <w:rPr/>
        <w:t>Significant Transactions and Arrangements entered into by the Unlisted Subsidiary in the format</w:t>
      </w:r>
      <w:r>
        <w:rPr>
          <w:spacing w:val="-59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party</w:t>
      </w:r>
      <w:r>
        <w:rPr>
          <w:spacing w:val="-4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consolidated</w:t>
      </w:r>
      <w:r>
        <w:rPr>
          <w:spacing w:val="-2"/>
        </w:rPr>
        <w:t> </w:t>
      </w:r>
      <w:r>
        <w:rPr/>
        <w:t>basis,.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436" w:val="left" w:leader="none"/>
        </w:tabs>
        <w:spacing w:line="273" w:lineRule="auto" w:before="0" w:after="0"/>
        <w:ind w:left="100" w:right="126" w:firstLine="0"/>
        <w:jc w:val="left"/>
      </w:pPr>
      <w:r>
        <w:rPr/>
        <w:t>RESTRICTION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DISPOSAL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SHARES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MATERIAL</w:t>
      </w:r>
      <w:r>
        <w:rPr>
          <w:spacing w:val="22"/>
        </w:rPr>
        <w:t> </w:t>
      </w:r>
      <w:r>
        <w:rPr/>
        <w:t>SUBSIDIARY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-59"/>
        </w:rPr>
        <w:t> </w:t>
      </w:r>
      <w:r>
        <w:rPr/>
        <w:t>COMPANY</w:t>
      </w:r>
    </w:p>
    <w:p>
      <w:pPr>
        <w:pStyle w:val="BodyText"/>
        <w:spacing w:line="273" w:lineRule="auto" w:before="211"/>
        <w:ind w:left="100" w:right="115" w:firstLine="62"/>
        <w:jc w:val="both"/>
      </w:pPr>
      <w:r>
        <w:rPr/>
        <w:t>The Company shall not dispose of shares in its Material Subsidiary which would reduce its</w:t>
      </w:r>
      <w:r>
        <w:rPr>
          <w:spacing w:val="1"/>
        </w:rPr>
        <w:t> </w:t>
      </w:r>
      <w:r>
        <w:rPr/>
        <w:t>shareholding (either on its own or together with other Subsidiaries) to less than fifty percent</w:t>
      </w:r>
      <w:r>
        <w:rPr>
          <w:spacing w:val="1"/>
        </w:rPr>
        <w:t> </w:t>
      </w:r>
      <w:r>
        <w:rPr/>
        <w:t>(50%)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cease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exercise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control</w:t>
      </w:r>
      <w:r>
        <w:rPr>
          <w:spacing w:val="7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subsidiary</w:t>
      </w:r>
      <w:r>
        <w:rPr>
          <w:spacing w:val="13"/>
        </w:rPr>
        <w:t> </w:t>
      </w:r>
      <w:r>
        <w:rPr/>
        <w:t>without</w:t>
      </w:r>
      <w:r>
        <w:rPr>
          <w:spacing w:val="9"/>
        </w:rPr>
        <w:t> </w:t>
      </w:r>
      <w:r>
        <w:rPr/>
        <w:t>passing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special</w:t>
      </w:r>
      <w:r>
        <w:rPr>
          <w:spacing w:val="12"/>
        </w:rPr>
        <w:t> </w:t>
      </w:r>
      <w:r>
        <w:rPr/>
        <w:t>resolution</w:t>
      </w:r>
      <w:r>
        <w:rPr>
          <w:spacing w:val="-58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general</w:t>
      </w:r>
      <w:r>
        <w:rPr>
          <w:spacing w:val="7"/>
        </w:rPr>
        <w:t> </w:t>
      </w:r>
      <w:r>
        <w:rPr/>
        <w:t>meeting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shareholders</w:t>
      </w:r>
      <w:r>
        <w:rPr>
          <w:spacing w:val="7"/>
        </w:rPr>
        <w:t> </w:t>
      </w:r>
      <w:r>
        <w:rPr/>
        <w:t>except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cases</w:t>
      </w:r>
      <w:r>
        <w:rPr>
          <w:spacing w:val="8"/>
        </w:rPr>
        <w:t> </w:t>
      </w:r>
      <w:r>
        <w:rPr/>
        <w:t>where</w:t>
      </w:r>
      <w:r>
        <w:rPr>
          <w:spacing w:val="5"/>
        </w:rPr>
        <w:t> </w:t>
      </w:r>
      <w:r>
        <w:rPr/>
        <w:t>such</w:t>
      </w:r>
      <w:r>
        <w:rPr>
          <w:spacing w:val="10"/>
        </w:rPr>
        <w:t> </w:t>
      </w:r>
      <w:r>
        <w:rPr/>
        <w:t>divestment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made</w:t>
      </w:r>
      <w:r>
        <w:rPr>
          <w:spacing w:val="5"/>
        </w:rPr>
        <w:t> </w:t>
      </w:r>
      <w:r>
        <w:rPr/>
        <w:t>under</w:t>
      </w:r>
      <w:r>
        <w:rPr>
          <w:spacing w:val="-59"/>
        </w:rPr>
        <w:t> </w:t>
      </w:r>
      <w:r>
        <w:rPr/>
        <w:t>a</w:t>
      </w:r>
      <w:r>
        <w:rPr>
          <w:spacing w:val="1"/>
        </w:rPr>
        <w:t> </w:t>
      </w:r>
      <w:r>
        <w:rPr/>
        <w:t>scheme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arrangement</w:t>
      </w:r>
      <w:r>
        <w:rPr>
          <w:spacing w:val="-4"/>
        </w:rPr>
        <w:t> </w:t>
      </w:r>
      <w:r>
        <w:rPr/>
        <w:t>duly</w:t>
      </w:r>
      <w:r>
        <w:rPr>
          <w:spacing w:val="-4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court/tribunal.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50" w:val="left" w:leader="none"/>
        </w:tabs>
        <w:spacing w:line="240" w:lineRule="auto" w:before="143" w:after="0"/>
        <w:ind w:left="349" w:right="0" w:hanging="250"/>
        <w:jc w:val="left"/>
      </w:pPr>
      <w:r>
        <w:rPr/>
        <w:t>RESTRICTION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DISPOSAL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ASSETS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SUBSIDIARY</w:t>
      </w: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pStyle w:val="BodyText"/>
        <w:spacing w:line="276" w:lineRule="auto"/>
        <w:ind w:left="100" w:right="128"/>
        <w:jc w:val="both"/>
      </w:pPr>
      <w:r>
        <w:rPr/>
        <w:t>Selling, disposing and leasing of assets amounting to more than twenty percent (20%) of 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Material Subsidiary on an aggregate basis during a financial year shall require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sale/disposal/lease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made under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scheme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arrangement</w:t>
      </w:r>
      <w:r>
        <w:rPr>
          <w:spacing w:val="-5"/>
        </w:rPr>
        <w:t> </w:t>
      </w:r>
      <w:r>
        <w:rPr/>
        <w:t>duly</w:t>
      </w:r>
      <w:r>
        <w:rPr>
          <w:spacing w:val="-7"/>
        </w:rPr>
        <w:t> </w:t>
      </w:r>
      <w:r>
        <w:rPr/>
        <w:t>approved by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court/tribunal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22" w:val="left" w:leader="none"/>
        </w:tabs>
        <w:spacing w:line="268" w:lineRule="auto" w:before="138" w:after="0"/>
        <w:ind w:left="100" w:right="124" w:firstLine="0"/>
        <w:jc w:val="left"/>
      </w:pPr>
      <w:r>
        <w:rPr/>
        <w:t>OTHER</w:t>
      </w:r>
      <w:r>
        <w:rPr>
          <w:spacing w:val="11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RELATED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UNLISTED</w:t>
      </w:r>
      <w:r>
        <w:rPr>
          <w:spacing w:val="2"/>
        </w:rPr>
        <w:t> </w:t>
      </w:r>
      <w:r>
        <w:rPr/>
        <w:t>SUBSIDIARY/</w:t>
      </w:r>
      <w:r>
        <w:rPr>
          <w:spacing w:val="13"/>
        </w:rPr>
        <w:t> </w:t>
      </w:r>
      <w:r>
        <w:rPr/>
        <w:t>MATERIAL</w:t>
      </w:r>
      <w:r>
        <w:rPr>
          <w:spacing w:val="17"/>
        </w:rPr>
        <w:t> </w:t>
      </w:r>
      <w:r>
        <w:rPr/>
        <w:t>UNLISTED</w:t>
      </w:r>
      <w:r>
        <w:rPr>
          <w:spacing w:val="-59"/>
        </w:rPr>
        <w:t> </w:t>
      </w:r>
      <w:r>
        <w:rPr/>
        <w:t>SUBSIDIARY</w:t>
      </w: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84" w:val="left" w:leader="none"/>
        </w:tabs>
        <w:spacing w:line="268" w:lineRule="auto" w:before="1" w:after="0"/>
        <w:ind w:left="100" w:right="129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Audit</w:t>
      </w:r>
      <w:r>
        <w:rPr>
          <w:spacing w:val="23"/>
          <w:sz w:val="22"/>
        </w:rPr>
        <w:t> </w:t>
      </w:r>
      <w:r>
        <w:rPr>
          <w:sz w:val="22"/>
        </w:rPr>
        <w:t>Committee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holding</w:t>
      </w:r>
      <w:r>
        <w:rPr>
          <w:spacing w:val="23"/>
          <w:sz w:val="22"/>
        </w:rPr>
        <w:t> </w:t>
      </w:r>
      <w:r>
        <w:rPr>
          <w:sz w:val="22"/>
        </w:rPr>
        <w:t>company</w:t>
      </w:r>
      <w:r>
        <w:rPr>
          <w:spacing w:val="18"/>
          <w:sz w:val="22"/>
        </w:rPr>
        <w:t> </w:t>
      </w:r>
      <w:r>
        <w:rPr>
          <w:sz w:val="22"/>
        </w:rPr>
        <w:t>shall</w:t>
      </w:r>
      <w:r>
        <w:rPr>
          <w:spacing w:val="21"/>
          <w:sz w:val="22"/>
        </w:rPr>
        <w:t> </w:t>
      </w:r>
      <w:r>
        <w:rPr>
          <w:sz w:val="22"/>
        </w:rPr>
        <w:t>also</w:t>
      </w:r>
      <w:r>
        <w:rPr>
          <w:spacing w:val="24"/>
          <w:sz w:val="22"/>
        </w:rPr>
        <w:t> </w:t>
      </w:r>
      <w:r>
        <w:rPr>
          <w:sz w:val="22"/>
        </w:rPr>
        <w:t>review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financial</w:t>
      </w:r>
      <w:r>
        <w:rPr>
          <w:spacing w:val="21"/>
          <w:sz w:val="22"/>
        </w:rPr>
        <w:t> </w:t>
      </w:r>
      <w:r>
        <w:rPr>
          <w:sz w:val="22"/>
        </w:rPr>
        <w:t>statements,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particular,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investments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Unlisted</w:t>
      </w:r>
      <w:r>
        <w:rPr>
          <w:spacing w:val="-2"/>
          <w:sz w:val="22"/>
        </w:rPr>
        <w:t> </w:t>
      </w:r>
      <w:r>
        <w:rPr>
          <w:sz w:val="22"/>
        </w:rPr>
        <w:t>Subsidiary.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73" w:lineRule="auto" w:before="211" w:after="0"/>
        <w:ind w:left="100" w:right="127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minutes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Board</w:t>
      </w:r>
      <w:r>
        <w:rPr>
          <w:spacing w:val="19"/>
          <w:sz w:val="22"/>
        </w:rPr>
        <w:t> </w:t>
      </w:r>
      <w:r>
        <w:rPr>
          <w:sz w:val="22"/>
        </w:rPr>
        <w:t>meetings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Unlisted</w:t>
      </w:r>
      <w:r>
        <w:rPr>
          <w:spacing w:val="15"/>
          <w:sz w:val="22"/>
        </w:rPr>
        <w:t> </w:t>
      </w:r>
      <w:r>
        <w:rPr>
          <w:sz w:val="22"/>
        </w:rPr>
        <w:t>Subsidiary</w:t>
      </w:r>
      <w:r>
        <w:rPr>
          <w:spacing w:val="17"/>
          <w:sz w:val="22"/>
        </w:rPr>
        <w:t> </w:t>
      </w:r>
      <w:r>
        <w:rPr>
          <w:sz w:val="22"/>
        </w:rPr>
        <w:t>shall</w:t>
      </w:r>
      <w:r>
        <w:rPr>
          <w:spacing w:val="17"/>
          <w:sz w:val="22"/>
        </w:rPr>
        <w:t> </w:t>
      </w:r>
      <w:r>
        <w:rPr>
          <w:sz w:val="22"/>
        </w:rPr>
        <w:t>be</w:t>
      </w:r>
      <w:r>
        <w:rPr>
          <w:spacing w:val="19"/>
          <w:sz w:val="22"/>
        </w:rPr>
        <w:t> </w:t>
      </w:r>
      <w:r>
        <w:rPr>
          <w:sz w:val="22"/>
        </w:rPr>
        <w:t>placed</w:t>
      </w:r>
      <w:r>
        <w:rPr>
          <w:spacing w:val="19"/>
          <w:sz w:val="22"/>
        </w:rPr>
        <w:t> </w:t>
      </w:r>
      <w:r>
        <w:rPr>
          <w:sz w:val="22"/>
        </w:rPr>
        <w:t>at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Board</w:t>
      </w:r>
      <w:r>
        <w:rPr>
          <w:spacing w:val="-58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Company.</w:t>
      </w:r>
    </w:p>
    <w:p>
      <w:pPr>
        <w:spacing w:after="0" w:line="273" w:lineRule="auto"/>
        <w:jc w:val="left"/>
        <w:rPr>
          <w:sz w:val="22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73" w:lineRule="auto" w:before="80" w:after="0"/>
        <w:ind w:left="100" w:right="129" w:firstLine="62"/>
        <w:jc w:val="left"/>
        <w:rPr>
          <w:sz w:val="22"/>
        </w:rPr>
      </w:pP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management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Company</w:t>
      </w:r>
      <w:r>
        <w:rPr>
          <w:spacing w:val="26"/>
          <w:sz w:val="22"/>
        </w:rPr>
        <w:t> </w:t>
      </w:r>
      <w:r>
        <w:rPr>
          <w:sz w:val="22"/>
        </w:rPr>
        <w:t>shall</w:t>
      </w:r>
      <w:r>
        <w:rPr>
          <w:spacing w:val="25"/>
          <w:sz w:val="22"/>
        </w:rPr>
        <w:t> </w:t>
      </w:r>
      <w:r>
        <w:rPr>
          <w:sz w:val="22"/>
        </w:rPr>
        <w:t>annually</w:t>
      </w:r>
      <w:r>
        <w:rPr>
          <w:spacing w:val="26"/>
          <w:sz w:val="22"/>
        </w:rPr>
        <w:t> </w:t>
      </w:r>
      <w:r>
        <w:rPr>
          <w:sz w:val="22"/>
        </w:rPr>
        <w:t>present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Board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33"/>
          <w:sz w:val="22"/>
        </w:rPr>
        <w:t> </w:t>
      </w:r>
      <w:r>
        <w:rPr>
          <w:sz w:val="22"/>
        </w:rPr>
        <w:t>list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Material</w:t>
      </w:r>
      <w:r>
        <w:rPr>
          <w:spacing w:val="-58"/>
          <w:sz w:val="22"/>
        </w:rPr>
        <w:t> </w:t>
      </w:r>
      <w:r>
        <w:rPr>
          <w:sz w:val="22"/>
        </w:rPr>
        <w:t>Subsidiaries.</w:t>
      </w:r>
    </w:p>
    <w:p>
      <w:pPr>
        <w:pStyle w:val="BodyText"/>
        <w:spacing w:before="207"/>
        <w:ind w:left="4108" w:right="4117"/>
        <w:jc w:val="center"/>
        <w:rPr>
          <w:rFonts w:ascii="Calibri"/>
        </w:rPr>
      </w:pPr>
      <w:r>
        <w:rPr>
          <w:rFonts w:ascii="Calibri"/>
        </w:rPr>
        <w:t>************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0" w:hanging="283"/>
        <w:jc w:val="right"/>
      </w:pPr>
      <w:rPr>
        <w:rFonts w:hint="default" w:ascii="Arial MT" w:hAnsi="Arial MT" w:eastAsia="Arial MT" w:cs="Arial MT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7" w:hanging="188"/>
        <w:jc w:val="left"/>
      </w:pPr>
      <w:rPr>
        <w:rFonts w:hint="default" w:ascii="Arial" w:hAnsi="Arial" w:eastAsia="Arial" w:cs="Arial"/>
        <w:b/>
        <w:bCs/>
        <w:spacing w:val="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1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100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2022-01-04T06:59:05Z</dcterms:created>
  <dcterms:modified xsi:type="dcterms:W3CDTF">2022-01-04T06:59:05Z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